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115" w:after="283"/>
        <w:jc w:val="center"/>
        <w:rPr>
          <w:rFonts w:ascii="Times New Roman" w:hAnsi="Times New Roman"/>
          <w:sz w:val="20"/>
        </w:rPr>
      </w:pPr>
      <w:bookmarkStart w:id="0" w:name="logc-20260813.htm"/>
      <w:bookmarkStart w:id="1" w:name="kslogc20260813"/>
      <w:bookmarkEnd w:id="0"/>
      <w:bookmarkEnd w:id="1"/>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13, 2026</w:t>
            </w:r>
          </w:p>
        </w:tc>
      </w:tr>
    </w:tbl>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ContextLogic Holdings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tbl>
      <w:tblPr>
        <w:tblW w:w="6091" w:type="dxa"/>
        <w:jc w:val="left"/>
        <w:tblInd w:w="0" w:type="dxa"/>
        <w:tblLayout w:type="fixed"/>
        <w:tblCellMar>
          <w:top w:w="28" w:type="dxa"/>
          <w:left w:w="28" w:type="dxa"/>
          <w:bottom w:w="28" w:type="dxa"/>
          <w:right w:w="28" w:type="dxa"/>
        </w:tblCellMar>
      </w:tblPr>
      <w:tblGrid>
        <w:gridCol w:w="1051"/>
        <w:gridCol w:w="923"/>
        <w:gridCol w:w="935"/>
        <w:gridCol w:w="1846"/>
        <w:gridCol w:w="1336"/>
      </w:tblGrid>
      <w:tr>
        <w:trPr/>
        <w:tc>
          <w:tcPr>
            <w:tcW w:w="1051"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000-56773</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27-2930953</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2648 International Blvd., Ste 301</w:t>
            </w:r>
          </w:p>
        </w:tc>
        <w:tc>
          <w:tcPr>
            <w:tcW w:w="318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Oakland, California</w:t>
            </w:r>
          </w:p>
        </w:tc>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94601</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(415)</w:t>
            </w:r>
            <w:r>
              <w:rPr>
                <w:rFonts w:ascii="Times New Roman" w:hAnsi="Times New Roman"/>
                <w:color w:val="000000"/>
                <w:sz w:val="20"/>
              </w:rPr>
              <w:t xml:space="preserve"> </w:t>
            </w:r>
            <w:r>
              <w:rPr>
                <w:rFonts w:ascii="Times New Roman" w:hAnsi="Times New Roman"/>
                <w:b/>
                <w:color w:val="000000"/>
                <w:sz w:val="20"/>
              </w:rPr>
              <w:t>965-8476</w:t>
            </w:r>
          </w:p>
        </w:tc>
      </w:tr>
    </w:tbl>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jc w:val="left"/>
        <w:rPr/>
      </w:pPr>
      <w:r>
        <w:rPr>
          <w:color w:val="000000"/>
        </w:rPr>
        <w:t>☐</w:t>
      </w:r>
      <w:r>
        <w:rPr>
          <w:rFonts w:ascii="Times New Roman" w:hAnsi="Times New Roman"/>
          <w:color w:val="000000"/>
          <w:sz w:val="20"/>
        </w:rPr>
        <w:t>Written communications pursuant to Rule 425 under the Securities Act (17 CFR 230.425)</w:t>
      </w:r>
    </w:p>
    <w:p>
      <w:pPr>
        <w:pStyle w:val="TextBody"/>
        <w:bidi w:val="0"/>
        <w:spacing w:before="120" w:after="283"/>
        <w:jc w:val="left"/>
        <w:rPr/>
      </w:pPr>
      <w:r>
        <w:rPr>
          <w:color w:val="000000"/>
        </w:rPr>
        <w:t>☐</w:t>
      </w:r>
      <w:r>
        <w:rPr>
          <w:rFonts w:ascii="Times New Roman" w:hAnsi="Times New Roman"/>
          <w:color w:val="000000"/>
          <w:sz w:val="20"/>
        </w:rPr>
        <w:t>Soliciting material pursuant to Rule 14a-12 under the Exchange Act (17 CFR 240.14a-12)</w:t>
      </w:r>
    </w:p>
    <w:p>
      <w:pPr>
        <w:pStyle w:val="TextBody"/>
        <w:bidi w:val="0"/>
        <w:spacing w:before="120" w:after="283"/>
        <w:jc w:val="left"/>
        <w:rPr/>
      </w:pPr>
      <w:r>
        <w:rPr>
          <w:color w:val="000000"/>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jc w:val="left"/>
        <w:rPr/>
      </w:pPr>
      <w:r>
        <w:rPr>
          <w:color w:val="000000"/>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Securities registered pursuant to Section 12(g) of the Act:</w:t>
      </w:r>
    </w:p>
    <w:tbl>
      <w:tblPr>
        <w:tblW w:w="8463" w:type="dxa"/>
        <w:jc w:val="left"/>
        <w:tblInd w:w="0" w:type="dxa"/>
        <w:tblLayout w:type="fixed"/>
        <w:tblCellMar>
          <w:top w:w="28" w:type="dxa"/>
          <w:left w:w="28" w:type="dxa"/>
          <w:bottom w:w="28" w:type="dxa"/>
          <w:right w:w="28" w:type="dxa"/>
        </w:tblCellMar>
      </w:tblPr>
      <w:tblGrid>
        <w:gridCol w:w="2941"/>
        <w:gridCol w:w="1696"/>
        <w:gridCol w:w="3826"/>
      </w:tblGrid>
      <w:tr>
        <w:trPr/>
        <w:tc>
          <w:tcPr>
            <w:tcW w:w="294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9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29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LOGC</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OTCQB</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13, 2026, ContextLogic Holdings Inc. (the “Company”) issued a press release announcing the Company’s financial results for the second quarter ended June 30, 2026. A copy of the Company’s press release is attached hereto as Exhibit 99.1. </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information set forth in Item 2.02 above and in Exhibit 99.1 to this Current Report on Form 8-K is incorporated herein by reference. The Company announces material information to the public about the Company and other matters through a variety of means, including filings with the Securities and Exchange Commission, press releases, public conference calls, and the investor relations section of its website (ir.contextlogic.com) in order to achieve broad, non-exclusionary distribution of information to the public and for complying with its disclosure obligations under Regulation FD.</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information furnished pursuant to Item 2.02 and Item 7.01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pStyle w:val="Heading2"/>
        <w:bidi w:val="0"/>
        <w:spacing w:before="18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both"/>
        <w:rPr>
          <w:rFonts w:ascii="Times New Roman" w:hAnsi="Times New Roman"/>
          <w:color w:val="000000"/>
          <w:sz w:val="20"/>
        </w:rPr>
      </w:pPr>
      <w:r>
        <w:rPr>
          <w:rFonts w:ascii="Times New Roman" w:hAnsi="Times New Roman"/>
          <w:color w:val="000000"/>
          <w:sz w:val="20"/>
        </w:rPr>
        <w:t>(d) Exhibits.</w:t>
      </w:r>
    </w:p>
    <w:p>
      <w:pPr>
        <w:pStyle w:val="TextBody"/>
        <w:bidi w:val="0"/>
        <w:jc w:val="both"/>
        <w:rPr/>
      </w:pPr>
      <w:r>
        <w:rPr/>
        <w:t> </w:t>
      </w:r>
    </w:p>
    <w:tbl>
      <w:tblPr>
        <w:tblW w:w="7558" w:type="dxa"/>
        <w:jc w:val="left"/>
        <w:tblInd w:w="0" w:type="dxa"/>
        <w:tblLayout w:type="fixed"/>
        <w:tblCellMar>
          <w:top w:w="28" w:type="dxa"/>
          <w:left w:w="28" w:type="dxa"/>
          <w:bottom w:w="28" w:type="dxa"/>
          <w:right w:w="28" w:type="dxa"/>
        </w:tblCellMar>
      </w:tblPr>
      <w:tblGrid>
        <w:gridCol w:w="811"/>
        <w:gridCol w:w="146"/>
        <w:gridCol w:w="6601"/>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jc w:val="both"/>
              <w:rPr>
                <w:rFonts w:ascii="Times New Roman" w:hAnsi="Times New Roman"/>
                <w:b/>
                <w:color w:val="000000"/>
                <w:sz w:val="20"/>
                <w:u w:val="single"/>
              </w:rPr>
            </w:pPr>
            <w:r>
              <w:rPr>
                <w:rFonts w:ascii="Times New Roman" w:hAnsi="Times New Roman"/>
                <w:b/>
                <w:color w:val="000000"/>
                <w:sz w:val="20"/>
                <w:u w:val="single"/>
              </w:rPr>
              <w:t>Exhibit</w:t>
            </w:r>
          </w:p>
          <w:p>
            <w:pPr>
              <w:pStyle w:val="TableContents"/>
              <w:bidi w:val="0"/>
              <w:spacing w:before="0" w:after="283"/>
              <w:jc w:val="both"/>
              <w:rPr>
                <w:rFonts w:ascii="Times New Roman" w:hAnsi="Times New Roman"/>
                <w:b/>
                <w:color w:val="000000"/>
                <w:sz w:val="20"/>
                <w:u w:val="single"/>
              </w:rPr>
            </w:pPr>
            <w:r>
              <w:rPr>
                <w:rFonts w:ascii="Times New Roman" w:hAnsi="Times New Roman"/>
                <w:b/>
                <w:color w:val="000000"/>
                <w:sz w:val="20"/>
                <w:u w:val="single"/>
              </w:rPr>
              <w:t>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hyperlink w:anchor="logc-ex99_1.htm">
              <w:r>
                <w:rPr>
                  <w:rStyle w:val="InternetLink"/>
                  <w:rFonts w:ascii="Times New Roman" w:hAnsi="Times New Roman"/>
                  <w:color w:val="0000FF"/>
                  <w:sz w:val="20"/>
                  <w:u w:val="single"/>
                </w:rPr>
                <w:t>99.1</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both"/>
              <w:rPr/>
            </w:pPr>
            <w:hyperlink w:anchor="logc-ex99_1.htm">
              <w:r>
                <w:rPr>
                  <w:rStyle w:val="InternetLink"/>
                  <w:rFonts w:ascii="Times New Roman" w:hAnsi="Times New Roman"/>
                  <w:color w:val="0000FF"/>
                  <w:sz w:val="20"/>
                  <w:u w:val="single"/>
                </w:rPr>
                <w:t>Press release issued by ContextLogic Holdings Inc. on August 13, 2026</w:t>
              </w:r>
            </w:hyperlink>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hereunto duly authorized.</w:t>
      </w:r>
    </w:p>
    <w:tbl>
      <w:tblPr>
        <w:tblW w:w="4894" w:type="dxa"/>
        <w:jc w:val="left"/>
        <w:tblInd w:w="0" w:type="dxa"/>
        <w:tblLayout w:type="fixed"/>
        <w:tblCellMar>
          <w:top w:w="28" w:type="dxa"/>
          <w:left w:w="28" w:type="dxa"/>
          <w:bottom w:w="28" w:type="dxa"/>
          <w:right w:w="28" w:type="dxa"/>
        </w:tblCellMar>
      </w:tblPr>
      <w:tblGrid>
        <w:gridCol w:w="556"/>
        <w:gridCol w:w="1456"/>
        <w:gridCol w:w="451"/>
        <w:gridCol w:w="2431"/>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ContextLogic Holdings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13,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43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Mark Ward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sz w:val="20"/>
              </w:rPr>
            </w:pPr>
            <w:r>
              <w:rPr>
                <w:rFonts w:ascii="Times New Roman" w:hAnsi="Times New Roman"/>
                <w:color w:val="000000"/>
                <w:sz w:val="20"/>
              </w:rPr>
              <w:t>Mark Ward</w:t>
              <w:br/>
              <w:t>President</w:t>
              <w:br/>
            </w:r>
            <w:r>
              <w:rPr>
                <w:rFonts w:ascii="Times New Roman" w:hAnsi="Times New Roman"/>
                <w:i/>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logc-ex99_1.htm"/>
      <w:bookmarkStart w:id="3" w:name="kslogcex99_1"/>
      <w:bookmarkEnd w:id="2"/>
      <w:bookmarkEnd w:id="3"/>
      <w:r>
        <w:rPr/>
        <w:t> </w:t>
      </w:r>
      <w:r>
        <w:br w:type="page"/>
      </w:r>
    </w:p>
    <w:p>
      <w:pPr>
        <w:pStyle w:val="TextBody"/>
        <w:pBdr>
          <w:top w:val="double" w:sz="6" w:space="1" w:color="000000"/>
        </w:pBdr>
        <w:bidi w:val="0"/>
        <w:jc w:val="left"/>
        <w:rPr/>
      </w:pPr>
      <w:r>
        <w:rPr/>
        <w:t> </w:t>
      </w:r>
    </w:p>
    <w:p>
      <w:pPr>
        <w:pStyle w:val="TextBody"/>
        <w:bidi w:val="0"/>
        <w:jc w:val="right"/>
        <w:rPr>
          <w:rFonts w:ascii="Times New Roman" w:hAnsi="Times New Roman"/>
          <w:b/>
          <w:color w:val="000000"/>
          <w:sz w:val="22"/>
        </w:rPr>
      </w:pPr>
      <w:r>
        <w:rPr>
          <w:rFonts w:ascii="Times New Roman" w:hAnsi="Times New Roman"/>
          <w:b/>
          <w:color w:val="000000"/>
          <w:sz w:val="22"/>
        </w:rPr>
        <w:t>EXHIBIT 99.1</w:t>
      </w:r>
    </w:p>
    <w:p>
      <w:pPr>
        <w:pStyle w:val="TextBody"/>
        <w:bidi w:val="0"/>
        <w:jc w:val="center"/>
        <w:rPr>
          <w:rFonts w:ascii="Times New Roman" w:hAnsi="Times New Roman"/>
          <w:b/>
          <w:color w:val="000000"/>
          <w:sz w:val="22"/>
        </w:rPr>
      </w:pPr>
      <w:r>
        <w:rPr>
          <w:rFonts w:ascii="Times New Roman" w:hAnsi="Times New Roman"/>
          <w:b/>
          <w:color w:val="000000"/>
          <w:sz w:val="22"/>
        </w:rPr>
        <w:t>ContextLogic Holdings Inc. Reports Second-Quarter 2026 Financial Results</w:t>
      </w:r>
    </w:p>
    <w:p>
      <w:pPr>
        <w:pStyle w:val="TextBody"/>
        <w:bidi w:val="0"/>
        <w:jc w:val="both"/>
        <w:rPr>
          <w:rFonts w:ascii="Times New Roman" w:hAnsi="Times New Roman"/>
          <w:sz w:val="20"/>
        </w:rPr>
      </w:pPr>
      <w:r>
        <w:rPr>
          <w:rFonts w:ascii="Times New Roman" w:hAnsi="Times New Roman"/>
          <w:color w:val="000000"/>
          <w:sz w:val="22"/>
        </w:rPr>
        <w:t>OAKLAND, Calif., August 13, 2026 (</w:t>
      </w:r>
      <w:r>
        <w:rPr>
          <w:rFonts w:ascii="Times New Roman" w:hAnsi="Times New Roman"/>
          <w:color w:val="152934"/>
          <w:sz w:val="22"/>
        </w:rPr>
        <w:t>GLOBE NEWSWIRE</w:t>
      </w:r>
      <w:r>
        <w:rPr>
          <w:rFonts w:ascii="Times New Roman" w:hAnsi="Times New Roman"/>
          <w:color w:val="000000"/>
          <w:sz w:val="22"/>
        </w:rPr>
        <w:t>) -- ContextLogic Holdings Inc. (OTCQB: LOGC) ("ContextLogic," the "Company," "we" or "our") today reported its financial results for the quarter and six months ended June 30, 2026.</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Times New Roman" w:hAnsi="Times New Roman"/>
          <w:b/>
          <w:color w:val="000000"/>
          <w:sz w:val="22"/>
        </w:rPr>
        <w:t>Basis of Presentation</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2"/>
        </w:rPr>
      </w:pPr>
      <w:r>
        <w:rPr>
          <w:rFonts w:ascii="Times New Roman" w:hAnsi="Times New Roman"/>
          <w:color w:val="000000"/>
          <w:sz w:val="22"/>
        </w:rPr>
        <w:t>ContextLogic completed the acquisition of US Salt Parent Holdings, LLC and all its majority or wholly owned subsidiaries ("US Salt") on February 26, 2026 (the "US Salt Acquisition"). As a result of the significance of the relative operations acquired in the US Salt Acquisition, US Salt is reflected as the Predecessor to the combined entity for financial statement purposes. Accordingly, all periods presented through the closing date of the US Salt Acquisition, February 26, 2026, reflect the historical balances and results of US Salt ("Predecessor"). Periods presented after the closing of the US Salt Acquisition reflect the accounts of the Company and its majority and wholly owned subsidiaries, including US Salt ("Successor"). To provide comparable period-over-period information, the Company also presents "Combined" results, a non-GAAP measure that aggregates the Predecessor and Successor periods.</w:t>
      </w:r>
    </w:p>
    <w:p>
      <w:pPr>
        <w:pStyle w:val="TextBody"/>
        <w:bidi w:val="0"/>
        <w:spacing w:before="180" w:after="283"/>
        <w:jc w:val="both"/>
        <w:rPr>
          <w:rFonts w:ascii="Times New Roman" w:hAnsi="Times New Roman"/>
          <w:color w:val="000000"/>
          <w:sz w:val="22"/>
        </w:rPr>
      </w:pPr>
      <w:r>
        <w:rPr>
          <w:rFonts w:ascii="Times New Roman" w:hAnsi="Times New Roman"/>
          <w:color w:val="000000"/>
          <w:sz w:val="22"/>
        </w:rPr>
        <w:t>Note that "CLHI Corporate" refers to public company and parent-level items of ContextLogic Holdings Inc., distinct and separate from the operating results of US Salt.</w:t>
      </w:r>
    </w:p>
    <w:p>
      <w:pPr>
        <w:pStyle w:val="TextBody"/>
        <w:bidi w:val="0"/>
        <w:spacing w:before="180" w:after="283"/>
        <w:jc w:val="left"/>
        <w:rPr>
          <w:rFonts w:ascii="Times New Roman" w:hAnsi="Times New Roman"/>
          <w:sz w:val="20"/>
        </w:rPr>
      </w:pPr>
      <w:r>
        <w:rPr>
          <w:rFonts w:ascii="Times New Roman" w:hAnsi="Times New Roman"/>
          <w:b/>
          <w:color w:val="000000"/>
          <w:sz w:val="22"/>
        </w:rPr>
        <w:t>Second Quarter 2026 Results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Times New Roman" w:hAnsi="Times New Roman"/>
          <w:b/>
          <w:color w:val="000000"/>
          <w:sz w:val="22"/>
        </w:rPr>
        <w:t>Revenue:</w:t>
      </w:r>
      <w:r>
        <w:rPr>
          <w:rFonts w:ascii="Times New Roman" w:hAnsi="Times New Roman"/>
          <w:color w:val="000000"/>
          <w:sz w:val="20"/>
        </w:rPr>
        <w:t xml:space="preserve"> </w:t>
      </w:r>
      <w:r>
        <w:rPr>
          <w:rFonts w:ascii="Times New Roman" w:hAnsi="Times New Roman"/>
          <w:color w:val="000000"/>
          <w:sz w:val="22"/>
        </w:rPr>
        <w:t>Revenue for the second quarter of 2026 was $33.6 million, essentially flat compared to $33.8 million in the second quarter of 2025. We experienced lower sales volume in the quarter, partially offset by higher average sales prices driven by price increases and a favorable shift in product mix. The average sales price in the second quarter of 2026 was 7.7% higher than that of the prior-year quarter, which generated approximately $2.4 million of additional revenue. Overall volume during the second quarter of 2026 decreased 8.0%, compared with the second quarter of 2025, resulting in an approximately $2.6 million reduction in revenue. The decrease in volume was primarily attributable to a planned maintenance shutdown in the quarter that was not performed in the prior-year and transportation constraints related to limited trucking availability that limited shipments during the quarter.</w:t>
      </w:r>
    </w:p>
    <w:p>
      <w:pPr>
        <w:pStyle w:val="TextBody"/>
        <w:bidi w:val="0"/>
        <w:spacing w:before="180" w:after="283"/>
        <w:jc w:val="both"/>
        <w:rPr>
          <w:rFonts w:ascii="Times New Roman" w:hAnsi="Times New Roman"/>
          <w:sz w:val="20"/>
        </w:rPr>
      </w:pPr>
      <w:r>
        <w:rPr>
          <w:rFonts w:ascii="Times New Roman" w:hAnsi="Times New Roman"/>
          <w:b/>
          <w:color w:val="000000"/>
          <w:sz w:val="22"/>
        </w:rPr>
        <w:t>Net Income:</w:t>
      </w:r>
      <w:r>
        <w:rPr>
          <w:rFonts w:ascii="Times New Roman" w:hAnsi="Times New Roman"/>
          <w:color w:val="000000"/>
          <w:sz w:val="20"/>
        </w:rPr>
        <w:t xml:space="preserve"> </w:t>
      </w:r>
      <w:r>
        <w:rPr>
          <w:rFonts w:ascii="Times New Roman" w:hAnsi="Times New Roman"/>
          <w:color w:val="000000"/>
          <w:sz w:val="22"/>
        </w:rPr>
        <w:t>Net loss for the second quarter of 2026 was $6.3 million, a decrease of $11.0 million compared to net income of $4.7 million in the second quarter of 2025. The quarterly net loss was driven by CLHI Corporate costs, including transaction and general and administrative expenses incurred at the parent level, and increased intangible asset amortization expenses related to acquisition accounting.</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Times New Roman" w:hAnsi="Times New Roman"/>
          <w:b/>
          <w:color w:val="000000"/>
          <w:sz w:val="22"/>
        </w:rPr>
        <w:t>Adjusted EBITDA:</w:t>
      </w:r>
      <w:r>
        <w:rPr>
          <w:rFonts w:ascii="Times New Roman" w:hAnsi="Times New Roman"/>
          <w:color w:val="000000"/>
          <w:sz w:val="20"/>
        </w:rPr>
        <w:t xml:space="preserve"> </w:t>
      </w:r>
      <w:r>
        <w:rPr>
          <w:rFonts w:ascii="Times New Roman" w:hAnsi="Times New Roman"/>
          <w:color w:val="000000"/>
          <w:sz w:val="22"/>
        </w:rPr>
        <w:t>Non-GAAP Adjusted EBITDA for the second quarter ended June 30, 2026 was $10.8 million, a decrease of $3.2 million compared to $14.0 million in the prior year's second quarter. The decline reflects approximately $2.5 million of CLHI Corporate costs that were not present in the comparable period.</w:t>
      </w:r>
    </w:p>
    <w:p>
      <w:pPr>
        <w:pStyle w:val="TextBody"/>
        <w:bidi w:val="0"/>
        <w:spacing w:before="180" w:after="283"/>
        <w:jc w:val="both"/>
        <w:rPr>
          <w:rFonts w:ascii="Times New Roman" w:hAnsi="Times New Roman"/>
          <w:sz w:val="20"/>
        </w:rPr>
      </w:pPr>
      <w:r>
        <w:rPr>
          <w:rFonts w:ascii="Times New Roman" w:hAnsi="Times New Roman"/>
          <w:b/>
          <w:color w:val="000000"/>
          <w:sz w:val="22"/>
        </w:rPr>
        <w:t>Free Cash Flow:</w:t>
      </w:r>
      <w:r>
        <w:rPr>
          <w:rFonts w:ascii="Times New Roman" w:hAnsi="Times New Roman"/>
          <w:color w:val="000000"/>
          <w:sz w:val="20"/>
        </w:rPr>
        <w:t xml:space="preserve"> </w:t>
      </w:r>
      <w:r>
        <w:rPr>
          <w:rFonts w:ascii="Times New Roman" w:hAnsi="Times New Roman"/>
          <w:color w:val="000000"/>
          <w:sz w:val="22"/>
        </w:rPr>
        <w:t>Cash flow from operations, net of capital expenditures, was ($21.6) million for the Combined first six months of 2026 as compared to $7.9 million in the prior year's first six months. The decline reflects $22.6 million of transaction expenses related to the US Salt Acquisition and searching for other potential acquisitions.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Times New Roman" w:hAnsi="Times New Roman"/>
          <w:b/>
          <w:color w:val="000000"/>
          <w:sz w:val="22"/>
        </w:rPr>
        <w:t>Outstanding Equity:</w:t>
      </w:r>
      <w:r>
        <w:rPr>
          <w:rFonts w:ascii="Times New Roman" w:hAnsi="Times New Roman"/>
          <w:color w:val="000000"/>
          <w:sz w:val="20"/>
        </w:rPr>
        <w:t xml:space="preserve"> </w:t>
      </w:r>
      <w:r>
        <w:rPr>
          <w:rFonts w:ascii="Times New Roman" w:hAnsi="Times New Roman"/>
          <w:color w:val="000000"/>
          <w:sz w:val="22"/>
        </w:rPr>
        <w:t>For the three-month period ended June 30, 2026 (Successor), there were 101.6 million weighted average units outstanding at ContextLogic Holdings, LLC, the Company's consolidated subsidiary that holds the operating businesses. Of these, 45.7 million units were held by ContextLogic Holdings Inc. (equivalent to the weighted average common shares outstanding of the public company), and the remaining 55.9 million units were held by other holders of LLC units.</w:t>
      </w:r>
    </w:p>
    <w:p>
      <w:pPr>
        <w:pStyle w:val="TextBody"/>
        <w:bidi w:val="0"/>
        <w:spacing w:before="180" w:after="283"/>
        <w:jc w:val="both"/>
        <w:rPr/>
      </w:pPr>
      <w:r>
        <w:rPr/>
        <w:t> </w:t>
      </w:r>
    </w:p>
    <w:p>
      <w:pPr>
        <w:pStyle w:val="TextBody"/>
        <w:bidi w:val="0"/>
        <w:spacing w:before="180" w:after="283"/>
        <w:jc w:val="both"/>
        <w:rPr/>
      </w:pPr>
      <w:r>
        <w:rPr/>
        <w:t> </w:t>
      </w:r>
    </w:p>
    <w:p>
      <w:pPr>
        <w:pStyle w:val="TextBody"/>
        <w:bidi w:val="0"/>
        <w:spacing w:before="180" w:after="283"/>
        <w:jc w:val="both"/>
        <w:rPr/>
      </w:pPr>
      <w:r>
        <w:rPr/>
        <w:t> </w:t>
      </w:r>
    </w:p>
    <w:p>
      <w:pPr>
        <w:pStyle w:val="TextBody"/>
        <w:bidi w:val="0"/>
        <w:spacing w:before="180" w:after="283"/>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2"/>
          <w:u w:val="single"/>
        </w:rPr>
      </w:pPr>
      <w:r>
        <w:rPr>
          <w:rFonts w:ascii="Times New Roman" w:hAnsi="Times New Roman"/>
          <w:color w:val="000000"/>
          <w:sz w:val="22"/>
          <w:u w:val="single"/>
        </w:rPr>
        <w:t>Key Financial Data:</w:t>
      </w:r>
    </w:p>
    <w:tbl>
      <w:tblPr>
        <w:tblW w:w="10205" w:type="dxa"/>
        <w:jc w:val="left"/>
        <w:tblInd w:w="0" w:type="dxa"/>
        <w:tblLayout w:type="fixed"/>
        <w:tblCellMar>
          <w:top w:w="28" w:type="dxa"/>
          <w:left w:w="28" w:type="dxa"/>
          <w:bottom w:w="28" w:type="dxa"/>
          <w:right w:w="28" w:type="dxa"/>
        </w:tblCellMar>
      </w:tblPr>
      <w:tblGrid>
        <w:gridCol w:w="2119"/>
        <w:gridCol w:w="346"/>
        <w:gridCol w:w="806"/>
        <w:gridCol w:w="1783"/>
        <w:gridCol w:w="366"/>
        <w:gridCol w:w="346"/>
        <w:gridCol w:w="818"/>
        <w:gridCol w:w="1815"/>
        <w:gridCol w:w="346"/>
        <w:gridCol w:w="346"/>
        <w:gridCol w:w="257"/>
        <w:gridCol w:w="644"/>
        <w:gridCol w:w="213"/>
      </w:tblGrid>
      <w:tr>
        <w:trPr/>
        <w:tc>
          <w:tcPr>
            <w:tcW w:w="211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1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Successor</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Predecessor</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 2026</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 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millions)</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millions)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EBITDA</w:t>
            </w:r>
            <w:r>
              <w:rPr>
                <w:rFonts w:ascii="Times New Roman" w:hAnsi="Times New Roman"/>
                <w:color w:val="000000"/>
                <w:sz w:val="13"/>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Adjusted EBITDA</w:t>
            </w:r>
            <w:r>
              <w:rPr>
                <w:rFonts w:ascii="Times New Roman" w:hAnsi="Times New Roman"/>
                <w:color w:val="000000"/>
                <w:sz w:val="13"/>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60" w:after="283"/>
        <w:jc w:val="left"/>
        <w:rPr>
          <w:rFonts w:ascii="Times New Roman" w:hAnsi="Times New Roman"/>
          <w:color w:val="000000"/>
          <w:sz w:val="14"/>
        </w:rPr>
      </w:pPr>
      <w:r>
        <w:rPr>
          <w:rFonts w:ascii="Times New Roman" w:hAnsi="Times New Roman"/>
          <w:color w:val="000000"/>
          <w:sz w:val="14"/>
        </w:rPr>
        <w:t>1.</w:t>
      </w:r>
    </w:p>
    <w:p>
      <w:pPr>
        <w:pStyle w:val="TextBody"/>
        <w:bidi w:val="0"/>
        <w:spacing w:before="60" w:after="283"/>
        <w:jc w:val="left"/>
        <w:rPr>
          <w:rFonts w:ascii="Times New Roman" w:hAnsi="Times New Roman"/>
          <w:color w:val="000000"/>
          <w:sz w:val="14"/>
        </w:rPr>
      </w:pPr>
      <w:r>
        <w:rPr>
          <w:rFonts w:ascii="Times New Roman" w:hAnsi="Times New Roman"/>
          <w:color w:val="000000"/>
          <w:sz w:val="14"/>
        </w:rPr>
        <w:t>EBITDA and Adjusted EBITDA are non-GAAP financial measures. For definitions of EBITDA and Adjusted EBITDA and a reconciliation to the most directly comparable financial measures calculated in accordance with GAAP, see the schedule titled "Reconciliation of Net Income to EBITDA and Adjusted EBITDA."</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515"/>
        <w:gridCol w:w="346"/>
        <w:gridCol w:w="865"/>
        <w:gridCol w:w="1484"/>
        <w:gridCol w:w="346"/>
        <w:gridCol w:w="346"/>
        <w:gridCol w:w="914"/>
        <w:gridCol w:w="1502"/>
        <w:gridCol w:w="346"/>
        <w:gridCol w:w="346"/>
        <w:gridCol w:w="195"/>
      </w:tblGrid>
      <w:tr>
        <w:trPr/>
        <w:tc>
          <w:tcPr>
            <w:tcW w:w="351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5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Successor</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Predecessor</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 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 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Supplemental Disclosure Items</w:t>
            </w:r>
            <w:r>
              <w:rPr>
                <w:rFonts w:ascii="Times New Roman" w:hAnsi="Times New Roman"/>
                <w:b/>
                <w:color w:val="000000"/>
                <w:sz w:val="13"/>
              </w:rPr>
              <w:t>1</w:t>
            </w:r>
            <w:r>
              <w:rPr>
                <w:rFonts w:ascii="Times New Roman" w:hAnsi="Times New Roman"/>
                <w:b/>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millions)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millions)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CLHI Corporate G&amp;A</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CLHI Corporate Transaction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CLHI Corporate Depreciation &amp; Amortization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CLHI Corporate Tax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CLHI Adjusting Expense Items for Adjusted EBITDA</w:t>
            </w:r>
            <w:r>
              <w:rPr>
                <w:rFonts w:ascii="Times New Roman" w:hAnsi="Times New Roman"/>
                <w:color w:val="000000"/>
                <w:sz w:val="13"/>
              </w:rPr>
              <w:t>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60" w:after="283"/>
        <w:jc w:val="left"/>
        <w:rPr>
          <w:rFonts w:ascii="Times New Roman" w:hAnsi="Times New Roman"/>
          <w:color w:val="000000"/>
          <w:sz w:val="14"/>
        </w:rPr>
      </w:pPr>
      <w:r>
        <w:rPr>
          <w:rFonts w:ascii="Times New Roman" w:hAnsi="Times New Roman"/>
          <w:color w:val="000000"/>
          <w:sz w:val="14"/>
        </w:rPr>
        <w:t>1.</w:t>
      </w:r>
    </w:p>
    <w:p>
      <w:pPr>
        <w:pStyle w:val="TextBody"/>
        <w:bidi w:val="0"/>
        <w:spacing w:before="60" w:after="283"/>
        <w:jc w:val="left"/>
        <w:rPr>
          <w:rFonts w:ascii="Times New Roman" w:hAnsi="Times New Roman"/>
          <w:color w:val="000000"/>
          <w:sz w:val="14"/>
        </w:rPr>
      </w:pPr>
      <w:r>
        <w:rPr>
          <w:rFonts w:ascii="Times New Roman" w:hAnsi="Times New Roman"/>
          <w:color w:val="000000"/>
          <w:sz w:val="14"/>
        </w:rPr>
        <w:t>CLHI Corporate Expenses are expenses incurred at the corporate level.</w:t>
      </w:r>
    </w:p>
    <w:p>
      <w:pPr>
        <w:pStyle w:val="TextBody"/>
        <w:bidi w:val="0"/>
        <w:spacing w:before="60" w:after="283"/>
        <w:jc w:val="left"/>
        <w:rPr>
          <w:rFonts w:ascii="Times New Roman" w:hAnsi="Times New Roman"/>
          <w:color w:val="000000"/>
          <w:sz w:val="14"/>
        </w:rPr>
      </w:pPr>
      <w:r>
        <w:rPr>
          <w:rFonts w:ascii="Times New Roman" w:hAnsi="Times New Roman"/>
          <w:color w:val="000000"/>
          <w:sz w:val="14"/>
        </w:rPr>
        <w:t>2.</w:t>
      </w:r>
    </w:p>
    <w:p>
      <w:pPr>
        <w:pStyle w:val="TextBody"/>
        <w:bidi w:val="0"/>
        <w:spacing w:before="60" w:after="283"/>
        <w:jc w:val="left"/>
        <w:rPr>
          <w:rFonts w:ascii="Times New Roman" w:hAnsi="Times New Roman"/>
          <w:color w:val="000000"/>
          <w:sz w:val="14"/>
        </w:rPr>
      </w:pPr>
      <w:r>
        <w:rPr>
          <w:rFonts w:ascii="Times New Roman" w:hAnsi="Times New Roman"/>
          <w:color w:val="000000"/>
          <w:sz w:val="14"/>
        </w:rPr>
        <w:t>This amount represents expenses incurred at the corporate level that are included in the adjustments for Adjusted EBITDA and consist of $1.3 million of transaction expenses and $0.1 million of stock-based compensation (where stock-based compensation is included in G&amp;A in the above table).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465"/>
        <w:gridCol w:w="146"/>
        <w:gridCol w:w="472"/>
        <w:gridCol w:w="2545"/>
        <w:gridCol w:w="346"/>
        <w:gridCol w:w="346"/>
        <w:gridCol w:w="346"/>
        <w:gridCol w:w="346"/>
        <w:gridCol w:w="193"/>
      </w:tblGrid>
      <w:tr>
        <w:trPr/>
        <w:tc>
          <w:tcPr>
            <w:tcW w:w="54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5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Successor</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 Ownership Information: (shares and units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 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ContextLogic Weighted 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45,737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ContextLogic Holdings, LLC Weighted Average Units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101,604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80" w:after="283"/>
        <w:jc w:val="both"/>
        <w:rPr>
          <w:rFonts w:ascii="Times New Roman" w:hAnsi="Times New Roman"/>
          <w:sz w:val="20"/>
        </w:rPr>
      </w:pPr>
      <w:r>
        <w:rPr>
          <w:rFonts w:ascii="Times New Roman" w:hAnsi="Times New Roman"/>
          <w:b/>
          <w:color w:val="000000"/>
          <w:sz w:val="22"/>
        </w:rPr>
        <w:t>Question &amp; Answer</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Times New Roman" w:hAnsi="Times New Roman"/>
          <w:color w:val="000000"/>
          <w:sz w:val="22"/>
        </w:rPr>
        <w:t xml:space="preserve">The Company invites stockholders and interested parties to submit questions regarding its second quarter 2026 financial results and operating performance. Questions may be submitted via email to </w:t>
      </w:r>
      <w:r>
        <w:rPr>
          <w:rFonts w:ascii="Times New Roman" w:hAnsi="Times New Roman"/>
          <w:color w:val="000000"/>
          <w:sz w:val="22"/>
          <w:u w:val="single"/>
        </w:rPr>
        <w:t>ir@contextlogic.com</w:t>
      </w:r>
      <w:r>
        <w:rPr>
          <w:rFonts w:ascii="Times New Roman" w:hAnsi="Times New Roman"/>
          <w:color w:val="000000"/>
          <w:sz w:val="20"/>
        </w:rPr>
        <w:t xml:space="preserve"> </w:t>
      </w:r>
      <w:r>
        <w:rPr>
          <w:rFonts w:ascii="Times New Roman" w:hAnsi="Times New Roman"/>
          <w:color w:val="000000"/>
          <w:sz w:val="22"/>
        </w:rPr>
        <w:t xml:space="preserve">by August 17, 2026. The Company plans to prepare and share responses on its website at </w:t>
      </w:r>
      <w:r>
        <w:rPr>
          <w:rFonts w:ascii="Times New Roman" w:hAnsi="Times New Roman"/>
          <w:sz w:val="22"/>
        </w:rPr>
        <w:t>www.contextlogic.com</w:t>
      </w:r>
      <w:r>
        <w:rPr>
          <w:rFonts w:ascii="Times New Roman" w:hAnsi="Times New Roman"/>
          <w:color w:val="000000"/>
          <w:sz w:val="20"/>
        </w:rPr>
        <w:t xml:space="preserve"> </w:t>
      </w:r>
      <w:r>
        <w:rPr>
          <w:rFonts w:ascii="Times New Roman" w:hAnsi="Times New Roman"/>
          <w:color w:val="000000"/>
          <w:sz w:val="22"/>
        </w:rPr>
        <w:t>by August 21, 2026.</w:t>
      </w:r>
    </w:p>
    <w:p>
      <w:pPr>
        <w:pStyle w:val="TextBody"/>
        <w:bidi w:val="0"/>
        <w:spacing w:before="180" w:after="283"/>
        <w:jc w:val="left"/>
        <w:rPr>
          <w:rFonts w:ascii="Times New Roman" w:hAnsi="Times New Roman"/>
          <w:b/>
          <w:color w:val="000000"/>
          <w:sz w:val="22"/>
        </w:rPr>
      </w:pPr>
      <w:r>
        <w:rPr>
          <w:rFonts w:ascii="Times New Roman" w:hAnsi="Times New Roman"/>
          <w:b/>
          <w:color w:val="000000"/>
          <w:sz w:val="22"/>
        </w:rPr>
        <w:t>About ContextLogic Holdings Inc.</w:t>
      </w:r>
    </w:p>
    <w:p>
      <w:pPr>
        <w:pStyle w:val="TextBody"/>
        <w:bidi w:val="0"/>
        <w:spacing w:before="180" w:after="283"/>
        <w:jc w:val="both"/>
        <w:rPr>
          <w:rFonts w:ascii="Times New Roman" w:hAnsi="Times New Roman"/>
          <w:sz w:val="20"/>
        </w:rPr>
      </w:pPr>
      <w:r>
        <w:rPr>
          <w:rFonts w:ascii="Times New Roman" w:hAnsi="Times New Roman"/>
          <w:color w:val="000000"/>
          <w:sz w:val="22"/>
        </w:rPr>
        <w:t>ContextLogic Holdings Inc. is a publicly traded business ownership platform established to own a collection of niche, competitively advantaged, long-duration businesses. Each business operates with meaningful autonomy under world-class management teams whose incentives are tightly aligned with those of their shareholders, supported by a governance structure that creates direct accountability between operators and owners. For more information about ContextLogic, please visit </w:t>
      </w:r>
      <w:r>
        <w:rPr>
          <w:rFonts w:ascii="Times New Roman" w:hAnsi="Times New Roman"/>
          <w:sz w:val="22"/>
        </w:rPr>
        <w:t>www.contextlogic.com</w:t>
      </w:r>
      <w:r>
        <w:rPr>
          <w:rFonts w:ascii="Times New Roman" w:hAnsi="Times New Roman"/>
          <w:color w:val="000000"/>
          <w:sz w:val="22"/>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b/>
          <w:color w:val="000000"/>
          <w:sz w:val="22"/>
        </w:rPr>
      </w:pPr>
      <w:r>
        <w:rPr>
          <w:rFonts w:ascii="Times New Roman" w:hAnsi="Times New Roman"/>
          <w:b/>
          <w:color w:val="000000"/>
          <w:sz w:val="22"/>
        </w:rPr>
        <w:t>Forward-Looking Statements</w:t>
      </w:r>
    </w:p>
    <w:p>
      <w:pPr>
        <w:pStyle w:val="TextBody"/>
        <w:bidi w:val="0"/>
        <w:spacing w:before="180" w:after="283"/>
        <w:jc w:val="left"/>
        <w:rPr>
          <w:rFonts w:ascii="Times New Roman" w:hAnsi="Times New Roman"/>
          <w:color w:val="000000"/>
          <w:sz w:val="22"/>
        </w:rPr>
      </w:pPr>
      <w:r>
        <w:rPr>
          <w:rFonts w:ascii="Times New Roman" w:hAnsi="Times New Roman"/>
          <w:color w:val="000000"/>
          <w:sz w:val="22"/>
        </w:rPr>
        <w:t>This news release contains forward-looking statements within the meaning of the Safe Harbor provisions of the Private Securities Litigation Reform Act of 1995. All statements other than statements of historical fact could be deemed forward-looking, including, but not limited to, developing our pipeline of potential future acquisitions. In some cases, forward-looking statements can be identified by terms such as "anticipates," "believes," "could," "estimates," "expects," "foresees," "forecasts," "goals," "guidance," "intends," "may," "might," "outlook," "plans," "potential," "predicts," "projects," "seeks," "should," "targets," "will," "would" or similar expressions and the negatives of those terms. These forward-looking statements are subject to risks, uncertainties, and assumptions. If the risks materialize or assumptions prove incorrect, actual results could differ materially from the results implied by these forward-looking statements. Important factors, risks and uncertainties that could cause actual results to differ materially from those forward-looking statements include but are not limited to: statements regarding the US Salt Acquisition, the strategic alternatives considered by the Company's board of directors, including the decisions taken thereto; future financial performance; future liquidity and operating expenditures; financial condition and results of operations; enforceability of transfer restrictions and occurrence of an ownership change with the result that ContextLogic's ability to use its net operating losses could be severely limited; future legislation resulting in ContextLogic being unable to realize the benefits of the tax attributes; ContextLogic's ability to make use of the existing benefits of the tax attributes because ContextLogic may not generate taxable income; the IRS's possible challenge of the amount of the tax attributes or claim that ContextLogic experienced an ownership change, which could reduce the amount of tax attributes that ContextLogic could use; risks related to any future acquisition of a business or assets; currently pending or future litigation; risks if we are deemed to be an investment company under the Investment Company Act of 1940; the effect of new accounting pronouncements; competitive changes in the marketplace and other characterizations of future events or circumstances; and the other important factors discussed in our most recent Annual Report on Form 10-K and any subsequent Quarterly Reports on Form 10-Q or Current Reports on Form 8-K.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Further information on these and additional risks that could affect ContextLogic's results is included in its filings with the Securities and Exchange Commission (the "SEC"), including the Annual Report on Form 10-K for the year ended December 31, 2025, the Quarterly Report on Form 10-Q for the periods ended March 31, 2026 and June 30, 2026 and other reports that ContextLogic files with the SEC from time to time, which could cause actual results to vary from expectations. Any forward-looking statement made by ContextLogic in this news release speaks only as of the day on which ContextLogic makes it. ContextLogic assumes no obligation to, and does not currently intend to, update any such forward-looking statements after the date of this release.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ContextLogic Holdings Inc.</w:t>
      </w:r>
    </w:p>
    <w:p>
      <w:pPr>
        <w:pStyle w:val="TextBody"/>
        <w:bidi w:val="0"/>
        <w:jc w:val="center"/>
        <w:rPr>
          <w:rFonts w:ascii="Times New Roman" w:hAnsi="Times New Roman"/>
          <w:b/>
          <w:color w:val="000000"/>
          <w:sz w:val="22"/>
        </w:rPr>
      </w:pPr>
      <w:r>
        <w:rPr>
          <w:rFonts w:ascii="Times New Roman" w:hAnsi="Times New Roman"/>
          <w:b/>
          <w:color w:val="000000"/>
          <w:sz w:val="22"/>
        </w:rPr>
        <w:t>Condensed Consolidated Balance Sheet Data</w:t>
      </w:r>
    </w:p>
    <w:p>
      <w:pPr>
        <w:pStyle w:val="TextBody"/>
        <w:bidi w:val="0"/>
        <w:jc w:val="center"/>
        <w:rPr>
          <w:rFonts w:ascii="Times New Roman" w:hAnsi="Times New Roman"/>
          <w:b/>
          <w:color w:val="000000"/>
          <w:sz w:val="22"/>
        </w:rPr>
      </w:pPr>
      <w:r>
        <w:rPr>
          <w:rFonts w:ascii="Times New Roman" w:hAnsi="Times New Roman"/>
          <w:b/>
          <w:color w:val="000000"/>
          <w:sz w:val="22"/>
        </w:rPr>
        <w:t>($ in millions)</w:t>
      </w:r>
    </w:p>
    <w:p>
      <w:pPr>
        <w:pStyle w:val="TextBody"/>
        <w:bidi w:val="0"/>
        <w:jc w:val="center"/>
        <w:rPr>
          <w:rFonts w:ascii="Times New Roman" w:hAnsi="Times New Roman"/>
          <w:b/>
          <w:color w:val="000000"/>
          <w:sz w:val="22"/>
        </w:rPr>
      </w:pPr>
      <w:r>
        <w:rPr>
          <w:rFonts w:ascii="Times New Roman" w:hAnsi="Times New Roman"/>
          <w:b/>
          <w:color w:val="000000"/>
          <w:sz w:val="22"/>
        </w:rPr>
        <w:t>(unaudited)</w:t>
      </w:r>
    </w:p>
    <w:p>
      <w:pPr>
        <w:pStyle w:val="TextBody"/>
        <w:bidi w:val="0"/>
        <w:jc w:val="center"/>
        <w:rPr/>
      </w:pPr>
      <w:r>
        <w:rPr/>
        <w:t> </w:t>
      </w:r>
    </w:p>
    <w:tbl>
      <w:tblPr>
        <w:tblW w:w="8636" w:type="dxa"/>
        <w:jc w:val="left"/>
        <w:tblInd w:w="0" w:type="dxa"/>
        <w:tblLayout w:type="fixed"/>
        <w:tblCellMar>
          <w:top w:w="28" w:type="dxa"/>
          <w:left w:w="28" w:type="dxa"/>
          <w:bottom w:w="28" w:type="dxa"/>
          <w:right w:w="28" w:type="dxa"/>
        </w:tblCellMar>
      </w:tblPr>
      <w:tblGrid>
        <w:gridCol w:w="4861"/>
        <w:gridCol w:w="146"/>
        <w:gridCol w:w="344"/>
        <w:gridCol w:w="931"/>
        <w:gridCol w:w="146"/>
        <w:gridCol w:w="146"/>
        <w:gridCol w:w="146"/>
        <w:gridCol w:w="464"/>
        <w:gridCol w:w="1261"/>
        <w:gridCol w:w="191"/>
      </w:tblGrid>
      <w:tr>
        <w:trPr/>
        <w:tc>
          <w:tcPr>
            <w:tcW w:w="4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Successor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Predecessor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Members' Equity,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net of current maturities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members' equity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members' equity,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ContextLogic Holdings Inc.</w:t>
      </w:r>
    </w:p>
    <w:p>
      <w:pPr>
        <w:pStyle w:val="TextBody"/>
        <w:bidi w:val="0"/>
        <w:jc w:val="center"/>
        <w:rPr>
          <w:rFonts w:ascii="Times New Roman" w:hAnsi="Times New Roman"/>
          <w:b/>
          <w:color w:val="000000"/>
          <w:sz w:val="22"/>
        </w:rPr>
      </w:pPr>
      <w:r>
        <w:rPr>
          <w:rFonts w:ascii="Times New Roman" w:hAnsi="Times New Roman"/>
          <w:b/>
          <w:color w:val="000000"/>
          <w:sz w:val="22"/>
        </w:rPr>
        <w:t>Condensed Consolidated Statements of Operations</w:t>
      </w:r>
    </w:p>
    <w:p>
      <w:pPr>
        <w:pStyle w:val="TextBody"/>
        <w:bidi w:val="0"/>
        <w:jc w:val="center"/>
        <w:rPr>
          <w:rFonts w:ascii="Times New Roman" w:hAnsi="Times New Roman"/>
          <w:b/>
          <w:color w:val="000000"/>
          <w:sz w:val="22"/>
        </w:rPr>
      </w:pPr>
      <w:r>
        <w:rPr>
          <w:rFonts w:ascii="Times New Roman" w:hAnsi="Times New Roman"/>
          <w:b/>
          <w:color w:val="000000"/>
          <w:sz w:val="22"/>
        </w:rPr>
        <w:t>($ in millions, units and shares in thousands, except per unit and share data)</w:t>
      </w:r>
    </w:p>
    <w:p>
      <w:pPr>
        <w:pStyle w:val="TextBody"/>
        <w:bidi w:val="0"/>
        <w:jc w:val="center"/>
        <w:rPr>
          <w:rFonts w:ascii="Times New Roman" w:hAnsi="Times New Roman"/>
          <w:b/>
          <w:color w:val="000000"/>
          <w:sz w:val="22"/>
        </w:rPr>
      </w:pPr>
      <w:r>
        <w:rPr>
          <w:rFonts w:ascii="Times New Roman" w:hAnsi="Times New Roman"/>
          <w:b/>
          <w:color w:val="000000"/>
          <w:sz w:val="22"/>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455"/>
        <w:gridCol w:w="146"/>
        <w:gridCol w:w="266"/>
        <w:gridCol w:w="854"/>
        <w:gridCol w:w="166"/>
        <w:gridCol w:w="146"/>
        <w:gridCol w:w="299"/>
        <w:gridCol w:w="964"/>
        <w:gridCol w:w="166"/>
        <w:gridCol w:w="146"/>
        <w:gridCol w:w="146"/>
        <w:gridCol w:w="400"/>
        <w:gridCol w:w="885"/>
        <w:gridCol w:w="166"/>
        <w:gridCol w:w="146"/>
        <w:gridCol w:w="306"/>
        <w:gridCol w:w="679"/>
        <w:gridCol w:w="166"/>
        <w:gridCol w:w="146"/>
        <w:gridCol w:w="275"/>
        <w:gridCol w:w="686"/>
        <w:gridCol w:w="596"/>
      </w:tblGrid>
      <w:tr>
        <w:trPr/>
        <w:tc>
          <w:tcPr>
            <w:tcW w:w="2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24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Predecessor</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Period from February 27, 2026 to 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Period from January 1, 2026 to February 26,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 2025</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Transaction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45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5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6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8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7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8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5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4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before benefit from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5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6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8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67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68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5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24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attributable to common stockholders (Successor)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per share attributable to common stockholders,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per share attributable to common stockholders,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used in computing net (loss) income per share attributable to common stockholders,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used in computing net (loss) income per share attributable to common stockholders,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ContextLogic Holdings Inc.</w:t>
      </w:r>
    </w:p>
    <w:p>
      <w:pPr>
        <w:pStyle w:val="TextBody"/>
        <w:bidi w:val="0"/>
        <w:jc w:val="center"/>
        <w:rPr>
          <w:rFonts w:ascii="Times New Roman" w:hAnsi="Times New Roman"/>
          <w:b/>
          <w:color w:val="000000"/>
          <w:sz w:val="22"/>
        </w:rPr>
      </w:pPr>
      <w:r>
        <w:rPr>
          <w:rFonts w:ascii="Times New Roman" w:hAnsi="Times New Roman"/>
          <w:b/>
          <w:color w:val="000000"/>
          <w:sz w:val="22"/>
        </w:rPr>
        <w:t>Condensed Consolidated Statements of Cash Flows Data</w:t>
      </w:r>
    </w:p>
    <w:p>
      <w:pPr>
        <w:pStyle w:val="TextBody"/>
        <w:bidi w:val="0"/>
        <w:jc w:val="center"/>
        <w:rPr>
          <w:rFonts w:ascii="Times New Roman" w:hAnsi="Times New Roman"/>
          <w:b/>
          <w:color w:val="000000"/>
          <w:sz w:val="22"/>
        </w:rPr>
      </w:pPr>
      <w:r>
        <w:rPr>
          <w:rFonts w:ascii="Times New Roman" w:hAnsi="Times New Roman"/>
          <w:b/>
          <w:color w:val="000000"/>
          <w:sz w:val="22"/>
        </w:rPr>
        <w:t>(in millions)</w:t>
      </w:r>
    </w:p>
    <w:p>
      <w:pPr>
        <w:pStyle w:val="TextBody"/>
        <w:bidi w:val="0"/>
        <w:jc w:val="center"/>
        <w:rPr>
          <w:rFonts w:ascii="Times New Roman" w:hAnsi="Times New Roman"/>
          <w:b/>
          <w:color w:val="000000"/>
          <w:sz w:val="22"/>
        </w:rPr>
      </w:pPr>
      <w:r>
        <w:rPr>
          <w:rFonts w:ascii="Times New Roman" w:hAnsi="Times New Roman"/>
          <w:b/>
          <w:color w:val="000000"/>
          <w:sz w:val="22"/>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535"/>
        <w:gridCol w:w="500"/>
        <w:gridCol w:w="1499"/>
        <w:gridCol w:w="166"/>
        <w:gridCol w:w="146"/>
        <w:gridCol w:w="146"/>
        <w:gridCol w:w="640"/>
        <w:gridCol w:w="1418"/>
        <w:gridCol w:w="166"/>
        <w:gridCol w:w="146"/>
        <w:gridCol w:w="445"/>
        <w:gridCol w:w="985"/>
        <w:gridCol w:w="413"/>
      </w:tblGrid>
      <w:tr>
        <w:trPr/>
        <w:tc>
          <w:tcPr>
            <w:tcW w:w="353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35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Predecessor</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Period from February 27, 2026 to 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Period from January 1, 2026 to February 26,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 2025</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99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income to net cash from operating activities:</w:t>
            </w:r>
          </w:p>
        </w:tc>
        <w:tc>
          <w:tcPr>
            <w:tcW w:w="199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depletion, and amortization</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Unit/Stock-based compensation</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incentive plan expense</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operating activities</w:t>
            </w:r>
          </w:p>
        </w:tc>
        <w:tc>
          <w:tcPr>
            <w:tcW w:w="50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9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1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8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41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5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99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plant and equipment</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 of US Salt, net of cash acquired</w:t>
            </w:r>
          </w:p>
        </w:tc>
        <w:tc>
          <w:tcPr>
            <w:tcW w:w="5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99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common stock from the backstopped rights offering</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subsidiary membership units from the backstopped rights offering</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subsidiary membership units, prior to conversion</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long-term debt</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debt issuance costs</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5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and cash equivalents</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5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b/>
          <w:color w:val="000000"/>
          <w:sz w:val="22"/>
        </w:rPr>
      </w:pPr>
      <w:r>
        <w:rPr>
          <w:rFonts w:ascii="Times New Roman" w:hAnsi="Times New Roman"/>
          <w:b/>
          <w:color w:val="000000"/>
          <w:sz w:val="22"/>
        </w:rPr>
        <w:t>Non-GAAP Supplemental Information</w:t>
      </w:r>
    </w:p>
    <w:p>
      <w:pPr>
        <w:pStyle w:val="TextBody"/>
        <w:bidi w:val="0"/>
        <w:spacing w:before="180" w:after="283"/>
        <w:jc w:val="both"/>
        <w:rPr>
          <w:rFonts w:ascii="Times New Roman" w:hAnsi="Times New Roman"/>
          <w:sz w:val="20"/>
        </w:rPr>
      </w:pPr>
      <w:r>
        <w:rPr>
          <w:rFonts w:ascii="Times New Roman" w:hAnsi="Times New Roman"/>
          <w:color w:val="000000"/>
          <w:sz w:val="22"/>
        </w:rPr>
        <w:t>We present in this press release certain financial information based on our EBITDA, Adjusted EBITDA and Free Cash Flow. References to "EBITDA" mean earnings before interest, taxes, depreciation and amortization, references to "Adjusted EBITDA" mean EBITDA plus, as applicable for each relevant period, certain adjustments as set forth in the reconciliations of net income to EBITDA and Adjusted EBITDA, and references to "Free Cash Flow" refer to net cash used in or provided by operating activities, net of purchases of property, plant and equipment. EBITDA, Adjusted EBITDA and Free Cash Flow are not measurements of financial performance under U.S. GAAP. We present EBITDA, Adjusted EBITDA and Free Cash Flow because we believe they are useful indicators for evaluating operating performance. In addition, our management uses Adjusted EBITDA to review and assess the performance of the management team in connection with employee incentive programs and to prepare its annual budget and financial projections. Moreover, our management uses Adjusted EBITDA of target companies to evaluate acquisitions.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Times New Roman" w:hAnsi="Times New Roman"/>
          <w:color w:val="000000"/>
          <w:sz w:val="22"/>
        </w:rPr>
        <w:t>Although we use EBITDA, Adjusted EBITDA, and Free Cash Flow as measures to assess the performance of our business and for the other purposes set forth above, the use of non-GAAP financial measures as analytical tools has limitations, and you should not consider any of them in isolation, or as a substitute for analysis of our results of operations as reported in accordance with U.S. GAAP. Some of these limitations are: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 xml:space="preserve">EBITDA, Adjusted EBITDA and Free Cash Flow do not reflect the significant interest expense or the cash requirements necessary to service interest payments on our indebtedness.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 xml:space="preserve">Although depreciation and amortization are non-cash charges, the assets being depreciated and amortized will often have to be replaced in the future, and the cash requirements for such replacements are not reflected in EBITDA, Adjusted EBITDA and Free Cash Flow.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 xml:space="preserve">Adjusted EBITDA excludes the cash expense we have incurred to integrate acquired businesses into our operations, which is a necessary element of certain of our acquisitions.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 xml:space="preserve">The omission of the substantial amortization expense associated with our intangible assets further limits the usefulness of EBITDA and Adjusted EBITDA.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EBITDA and Adjusted EBITDA do not include the payment of taxes, which is a necessary element of our operations.</w:t>
      </w:r>
    </w:p>
    <w:p>
      <w:pPr>
        <w:pStyle w:val="TextBody"/>
        <w:bidi w:val="0"/>
        <w:spacing w:before="180" w:after="283"/>
        <w:jc w:val="both"/>
        <w:rPr>
          <w:rFonts w:ascii="Times New Roman" w:hAnsi="Times New Roman"/>
          <w:sz w:val="20"/>
        </w:rPr>
      </w:pPr>
      <w:r>
        <w:rPr>
          <w:rFonts w:ascii="Times New Roman" w:hAnsi="Times New Roman"/>
          <w:color w:val="000000"/>
          <w:sz w:val="22"/>
        </w:rPr>
        <w:t>Because of these limitations, EBITDA, Adjusted EBITDA and Free Cash Flow should not be considered as measures of cash available to us to invest in the growth of our business. Management compensates for these limitations by not viewing EBITDA, Adjusted EBITDA and Free Cash Flow in isolation and specifically by using other U.S. GAAP measures, such as net sales and operating profit, to measure our operating performance. EBITDA, Adjusted EBITDA and Free Cash Flow are not measurements of financial performance under U.S. GAAP, and they should not be considered as alternatives to net income or cash flow from operations determined in accordance with U.S. GAAP. Our calculations of EBITDA, Adjusted EBITDA and Free Cash Flow may not be comparable to the calculations of similarly titled measures reported by other companies.</w:t>
      </w:r>
      <w:r>
        <w:rPr>
          <w:rFonts w:ascii="Times New Roman" w:hAnsi="Times New Roman"/>
          <w:color w:val="000000"/>
          <w:sz w:val="20"/>
        </w:rPr>
        <w:t xml:space="preserve"> </w:t>
      </w:r>
    </w:p>
    <w:p>
      <w:pPr>
        <w:pStyle w:val="TextBody"/>
        <w:bidi w:val="0"/>
        <w:spacing w:before="180" w:after="283"/>
        <w:jc w:val="both"/>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2"/>
        </w:rPr>
        <w:t>ContextLogic Holdings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Reconciliation of Net Income to EBITDA and Adjusted EBITDA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(in millions)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(unaudited)</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515"/>
        <w:gridCol w:w="546"/>
        <w:gridCol w:w="549"/>
        <w:gridCol w:w="1214"/>
        <w:gridCol w:w="546"/>
        <w:gridCol w:w="546"/>
        <w:gridCol w:w="585"/>
        <w:gridCol w:w="1298"/>
        <w:gridCol w:w="546"/>
        <w:gridCol w:w="546"/>
        <w:gridCol w:w="257"/>
        <w:gridCol w:w="644"/>
        <w:gridCol w:w="413"/>
      </w:tblGrid>
      <w:tr>
        <w:trPr/>
        <w:tc>
          <w:tcPr>
            <w:tcW w:w="251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25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Successor</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Predecessor</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 2026</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 2025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depletion</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EBITDA</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7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8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Transaction and integration costs</w:t>
            </w:r>
            <w:r>
              <w:rPr>
                <w:rFonts w:ascii="Times New Roman" w:hAnsi="Times New Roman"/>
                <w:color w:val="000000"/>
                <w:sz w:val="13"/>
              </w:rPr>
              <w:t>1</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Stock-based and unit-based compensation</w:t>
            </w:r>
            <w:r>
              <w:rPr>
                <w:rFonts w:ascii="Times New Roman" w:hAnsi="Times New Roman"/>
                <w:color w:val="000000"/>
                <w:sz w:val="13"/>
              </w:rPr>
              <w:t>2</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Write off of property, plant, and equipment</w:t>
            </w:r>
            <w:r>
              <w:rPr>
                <w:rFonts w:ascii="Times New Roman" w:hAnsi="Times New Roman"/>
                <w:color w:val="000000"/>
                <w:sz w:val="13"/>
              </w:rPr>
              <w:t>3</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Other</w:t>
            </w:r>
            <w:r>
              <w:rPr>
                <w:rFonts w:ascii="Times New Roman" w:hAnsi="Times New Roman"/>
                <w:color w:val="000000"/>
                <w:sz w:val="13"/>
              </w:rPr>
              <w:t>4</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60" w:after="283"/>
        <w:jc w:val="left"/>
        <w:rPr>
          <w:rFonts w:ascii="Times New Roman" w:hAnsi="Times New Roman"/>
          <w:color w:val="000000"/>
          <w:sz w:val="14"/>
        </w:rPr>
      </w:pPr>
      <w:r>
        <w:rPr>
          <w:rFonts w:ascii="Times New Roman" w:hAnsi="Times New Roman"/>
          <w:color w:val="000000"/>
          <w:sz w:val="14"/>
        </w:rPr>
        <w:t>1.</w:t>
      </w:r>
    </w:p>
    <w:p>
      <w:pPr>
        <w:pStyle w:val="TextBody"/>
        <w:bidi w:val="0"/>
        <w:spacing w:before="60" w:after="283"/>
        <w:jc w:val="left"/>
        <w:rPr>
          <w:rFonts w:ascii="Times New Roman" w:hAnsi="Times New Roman"/>
          <w:color w:val="000000"/>
          <w:sz w:val="14"/>
        </w:rPr>
      </w:pPr>
      <w:r>
        <w:rPr>
          <w:rFonts w:ascii="Times New Roman" w:hAnsi="Times New Roman"/>
          <w:color w:val="000000"/>
          <w:sz w:val="14"/>
        </w:rPr>
        <w:t>Expenses incurred by US Salt and ContextLogic related to the US Salt Acquisition and searching for other potential acquisitions.</w:t>
      </w:r>
    </w:p>
    <w:p>
      <w:pPr>
        <w:pStyle w:val="TextBody"/>
        <w:bidi w:val="0"/>
        <w:spacing w:before="60" w:after="283"/>
        <w:jc w:val="left"/>
        <w:rPr>
          <w:rFonts w:ascii="Times New Roman" w:hAnsi="Times New Roman"/>
          <w:color w:val="000000"/>
          <w:sz w:val="14"/>
        </w:rPr>
      </w:pPr>
      <w:r>
        <w:rPr>
          <w:rFonts w:ascii="Times New Roman" w:hAnsi="Times New Roman"/>
          <w:color w:val="000000"/>
          <w:sz w:val="14"/>
        </w:rPr>
        <w:t>2.</w:t>
      </w:r>
    </w:p>
    <w:p>
      <w:pPr>
        <w:pStyle w:val="TextBody"/>
        <w:bidi w:val="0"/>
        <w:spacing w:before="60" w:after="283"/>
        <w:jc w:val="left"/>
        <w:rPr>
          <w:rFonts w:ascii="Times New Roman" w:hAnsi="Times New Roman"/>
          <w:color w:val="000000"/>
          <w:sz w:val="14"/>
        </w:rPr>
      </w:pPr>
      <w:r>
        <w:rPr>
          <w:rFonts w:ascii="Times New Roman" w:hAnsi="Times New Roman"/>
          <w:color w:val="000000"/>
          <w:sz w:val="14"/>
        </w:rPr>
        <w:t>Stock-based and unit-based compensation incurred, which includes the US Salt long-term incentive plan and excludes $0.4 million of stock-based compensation included within transaction and integration costs.</w:t>
      </w:r>
    </w:p>
    <w:p>
      <w:pPr>
        <w:pStyle w:val="TextBody"/>
        <w:bidi w:val="0"/>
        <w:spacing w:before="60" w:after="283"/>
        <w:jc w:val="left"/>
        <w:rPr>
          <w:rFonts w:ascii="Times New Roman" w:hAnsi="Times New Roman"/>
          <w:color w:val="000000"/>
          <w:sz w:val="14"/>
        </w:rPr>
      </w:pPr>
      <w:r>
        <w:rPr>
          <w:rFonts w:ascii="Times New Roman" w:hAnsi="Times New Roman"/>
          <w:color w:val="000000"/>
          <w:sz w:val="14"/>
        </w:rPr>
        <w:t>3.</w:t>
      </w:r>
    </w:p>
    <w:p>
      <w:pPr>
        <w:pStyle w:val="TextBody"/>
        <w:bidi w:val="0"/>
        <w:spacing w:before="60" w:after="283"/>
        <w:jc w:val="left"/>
        <w:rPr>
          <w:rFonts w:ascii="Times New Roman" w:hAnsi="Times New Roman"/>
          <w:color w:val="000000"/>
          <w:sz w:val="14"/>
        </w:rPr>
      </w:pPr>
      <w:r>
        <w:rPr>
          <w:rFonts w:ascii="Times New Roman" w:hAnsi="Times New Roman"/>
          <w:color w:val="000000"/>
          <w:sz w:val="14"/>
        </w:rPr>
        <w:t>Write off of construction in progress that could not be realized into an asset.</w:t>
      </w:r>
    </w:p>
    <w:p>
      <w:pPr>
        <w:pStyle w:val="TextBody"/>
        <w:bidi w:val="0"/>
        <w:spacing w:before="60" w:after="283"/>
        <w:jc w:val="left"/>
        <w:rPr>
          <w:rFonts w:ascii="Times New Roman" w:hAnsi="Times New Roman"/>
          <w:color w:val="000000"/>
          <w:sz w:val="14"/>
        </w:rPr>
      </w:pPr>
      <w:r>
        <w:rPr>
          <w:rFonts w:ascii="Times New Roman" w:hAnsi="Times New Roman"/>
          <w:color w:val="000000"/>
          <w:sz w:val="14"/>
        </w:rPr>
        <w:t>4.</w:t>
      </w:r>
    </w:p>
    <w:p>
      <w:pPr>
        <w:pStyle w:val="TextBody"/>
        <w:bidi w:val="0"/>
        <w:spacing w:before="60" w:after="283"/>
        <w:jc w:val="left"/>
        <w:rPr>
          <w:rFonts w:ascii="Times New Roman" w:hAnsi="Times New Roman"/>
          <w:color w:val="000000"/>
          <w:sz w:val="14"/>
        </w:rPr>
      </w:pPr>
      <w:r>
        <w:rPr>
          <w:rFonts w:ascii="Times New Roman" w:hAnsi="Times New Roman"/>
          <w:color w:val="000000"/>
          <w:sz w:val="14"/>
        </w:rPr>
        <w:t>Contains gain on foreign currency transactions and costs associated with the decommissioning and removal of certain manufacturing equipment and expenses unique to US Salt's prior parent.</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2"/>
        </w:rPr>
        <w:t>ContextLogic Holdings Inc.</w:t>
      </w:r>
      <w:r>
        <w:rPr>
          <w:rFonts w:ascii="Times New Roman" w:hAnsi="Times New Roman"/>
          <w:color w:val="000000"/>
          <w:sz w:val="20"/>
        </w:rPr>
        <w:t xml:space="preserve"> </w:t>
      </w:r>
    </w:p>
    <w:p>
      <w:pPr>
        <w:pStyle w:val="TextBody"/>
        <w:bidi w:val="0"/>
        <w:jc w:val="center"/>
        <w:rPr>
          <w:rFonts w:ascii="Times New Roman" w:hAnsi="Times New Roman"/>
          <w:b/>
          <w:color w:val="000000"/>
          <w:sz w:val="22"/>
        </w:rPr>
      </w:pPr>
      <w:r>
        <w:rPr>
          <w:rFonts w:ascii="Times New Roman" w:hAnsi="Times New Roman"/>
          <w:b/>
          <w:color w:val="000000"/>
          <w:sz w:val="22"/>
        </w:rPr>
        <w:t>Reconciliation of Net Cash (Used In) Provided by Operating Activities to Free Cash Flow</w:t>
      </w:r>
    </w:p>
    <w:p>
      <w:pPr>
        <w:pStyle w:val="TextBody"/>
        <w:bidi w:val="0"/>
        <w:jc w:val="center"/>
        <w:rPr>
          <w:rFonts w:ascii="Times New Roman" w:hAnsi="Times New Roman"/>
          <w:sz w:val="20"/>
        </w:rPr>
      </w:pPr>
      <w:r>
        <w:rPr>
          <w:rFonts w:ascii="Times New Roman" w:hAnsi="Times New Roman"/>
          <w:b/>
          <w:color w:val="000000"/>
          <w:sz w:val="22"/>
        </w:rPr>
        <w:t>(in millions)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27"/>
        <w:gridCol w:w="346"/>
        <w:gridCol w:w="461"/>
        <w:gridCol w:w="1153"/>
        <w:gridCol w:w="166"/>
        <w:gridCol w:w="146"/>
        <w:gridCol w:w="146"/>
        <w:gridCol w:w="603"/>
        <w:gridCol w:w="1209"/>
        <w:gridCol w:w="166"/>
        <w:gridCol w:w="146"/>
        <w:gridCol w:w="462"/>
        <w:gridCol w:w="1158"/>
        <w:gridCol w:w="166"/>
        <w:gridCol w:w="146"/>
        <w:gridCol w:w="462"/>
        <w:gridCol w:w="1025"/>
        <w:gridCol w:w="417"/>
      </w:tblGrid>
      <w:tr>
        <w:trPr/>
        <w:tc>
          <w:tcPr>
            <w:tcW w:w="182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18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Predecessor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Non-GAAP</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Predecessor</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Period from February 27, 2026 to 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Period from January 1, 2026 to February 26,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Combined Six Months Ended 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 2025</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41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plant and equipment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8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Free Cash Flow</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Contacts</w:t>
      </w:r>
    </w:p>
    <w:p>
      <w:pPr>
        <w:pStyle w:val="TextBody"/>
        <w:bidi w:val="0"/>
        <w:spacing w:before="180" w:after="283"/>
        <w:jc w:val="left"/>
        <w:rPr>
          <w:rFonts w:ascii="Times New Roman" w:hAnsi="Times New Roman"/>
          <w:b/>
          <w:color w:val="000000"/>
          <w:sz w:val="22"/>
        </w:rPr>
      </w:pPr>
      <w:r>
        <w:rPr>
          <w:rFonts w:ascii="Times New Roman" w:hAnsi="Times New Roman"/>
          <w:b/>
          <w:color w:val="000000"/>
          <w:sz w:val="22"/>
        </w:rPr>
        <w:t>Investor Relations:</w:t>
      </w:r>
    </w:p>
    <w:p>
      <w:pPr>
        <w:pStyle w:val="TextBody"/>
        <w:bidi w:val="0"/>
        <w:jc w:val="left"/>
        <w:rPr>
          <w:rFonts w:ascii="Times New Roman" w:hAnsi="Times New Roman"/>
          <w:color w:val="000000"/>
          <w:sz w:val="22"/>
        </w:rPr>
      </w:pPr>
      <w:r>
        <w:rPr>
          <w:rFonts w:ascii="Times New Roman" w:hAnsi="Times New Roman"/>
          <w:color w:val="000000"/>
          <w:sz w:val="22"/>
        </w:rPr>
        <w:t>ir@contextlogic.com</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3547</Words>
  <Characters>19696</Characters>
  <CharactersWithSpaces>23799</CharactersWithSpaces>
  <Paragraphs>1748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