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03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Bobbili Raja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222 BERKELEY STREET, 21ST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ContextLogic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LOGC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160" w:space="655"/>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00" w:type="dxa"/>
            <w:vAlign w:val="bottom"/>
          </w:tcPr>
          <w:p>
            <w:pPr>
              <w:spacing w:after="0"/>
              <w:rPr>
                <w:sz w:val="13"/>
                <w:szCs w:val="13"/>
                <w:color w:val="auto"/>
              </w:rPr>
            </w:pPr>
          </w:p>
        </w:tc>
        <w:tc>
          <w:tcPr>
            <w:tcW w:w="20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estate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20" w:type="dxa"/>
            <w:vAlign w:val="bottom"/>
            <w:gridSpan w:val="4"/>
            <w:vMerge w:val="continue"/>
          </w:tcPr>
          <w:p>
            <w:pPr>
              <w:spacing w:after="0"/>
              <w:rPr>
                <w:sz w:val="9"/>
                <w:szCs w:val="9"/>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05/19/2026</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17,275</w:t>
            </w:r>
          </w:p>
        </w:tc>
        <w:tc>
          <w:tcPr>
            <w:tcW w:w="200" w:type="dxa"/>
            <w:vAlign w:val="bottom"/>
          </w:tcPr>
          <w:p>
            <w:pPr>
              <w:spacing w:after="0"/>
              <w:rPr>
                <w:sz w:val="9"/>
                <w:szCs w:val="9"/>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spacing w:after="0" w:line="213" w:lineRule="exact"/>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8.738</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367,275</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planning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vehicle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estate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20" w:type="dxa"/>
            <w:vAlign w:val="bottom"/>
            <w:gridSpan w:val="4"/>
            <w:vMerge w:val="continue"/>
          </w:tcPr>
          <w:p>
            <w:pPr>
              <w:spacing w:after="0"/>
              <w:rPr>
                <w:sz w:val="9"/>
                <w:szCs w:val="9"/>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05/20/2026</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87,295</w:t>
            </w:r>
          </w:p>
        </w:tc>
        <w:tc>
          <w:tcPr>
            <w:tcW w:w="200" w:type="dxa"/>
            <w:vAlign w:val="bottom"/>
          </w:tcPr>
          <w:p>
            <w:pPr>
              <w:spacing w:after="0"/>
              <w:rPr>
                <w:sz w:val="9"/>
                <w:szCs w:val="9"/>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spacing w:after="0" w:line="213" w:lineRule="exact"/>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8.767</w:t>
            </w:r>
            <w:r>
              <w:rPr>
                <w:rFonts w:ascii="Times New Roman" w:cs="Times New Roman" w:eastAsia="Times New Roman" w:hAnsi="Times New Roman"/>
                <w:sz w:val="22"/>
                <w:szCs w:val="22"/>
                <w:color w:val="008000"/>
                <w:w w:val="98"/>
                <w:vertAlign w:val="superscript"/>
              </w:rPr>
              <w:t>(3)</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454,570</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planning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vehicle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estate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20" w:type="dxa"/>
            <w:vAlign w:val="bottom"/>
            <w:gridSpan w:val="4"/>
            <w:vMerge w:val="continue"/>
          </w:tcPr>
          <w:p>
            <w:pPr>
              <w:spacing w:after="0"/>
              <w:rPr>
                <w:sz w:val="9"/>
                <w:szCs w:val="9"/>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05/21/2026</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45,430</w:t>
            </w:r>
          </w:p>
        </w:tc>
        <w:tc>
          <w:tcPr>
            <w:tcW w:w="200" w:type="dxa"/>
            <w:vAlign w:val="bottom"/>
          </w:tcPr>
          <w:p>
            <w:pPr>
              <w:spacing w:after="0"/>
              <w:rPr>
                <w:sz w:val="9"/>
                <w:szCs w:val="9"/>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spacing w:after="0" w:line="213" w:lineRule="exact"/>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8.688</w:t>
            </w:r>
            <w:r>
              <w:rPr>
                <w:rFonts w:ascii="Times New Roman" w:cs="Times New Roman" w:eastAsia="Times New Roman" w:hAnsi="Times New Roman"/>
                <w:sz w:val="22"/>
                <w:szCs w:val="22"/>
                <w:color w:val="008000"/>
                <w:w w:val="98"/>
                <w:vertAlign w:val="superscript"/>
              </w:rPr>
              <w:t>(4)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500,000</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planning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vehicle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20" w:type="dxa"/>
            <w:vAlign w:val="bottom"/>
            <w:tcBorders>
              <w:top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18,269,534</w:t>
            </w:r>
          </w:p>
        </w:tc>
        <w:tc>
          <w:tcPr>
            <w:tcW w:w="520" w:type="dxa"/>
            <w:vAlign w:val="bottom"/>
            <w:tcBorders>
              <w:top w:val="single" w:sz="8" w:color="2C2C2C"/>
            </w:tcBorders>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(5)(6)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vMerge w:val="continue"/>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7"/>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00" w:type="dxa"/>
            <w:vAlign w:val="bottom"/>
            <w:gridSpan w:val="13"/>
          </w:tcPr>
          <w:p>
            <w:pPr>
              <w:jc w:val="center"/>
              <w:ind w:left="24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$8.65 to $8.80,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of the estate planning vehicle. The Reporting Person disclaims beneficial ownership of such securities except to the extent of his pecuniary interest therein, and the inclusion of such securities in this report shall not be deemed an admission of beneficial ownership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$8.52 to $8.80,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$8.45 to $8.80,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reported herein as beneficially owned represent 578,862 shares held by Abrams Capital Partners I, L.P. ("ACP I"), 7,897,244 shares held by Abrams Capital Partners II, L.P. ("ACP II"), 5,262,976 shares held by Riva Capital Partners V, L.P. ("Riva V") and 4,530,452 shares held by Riva Capital Partners VI, L.P. ("Riva VI").</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 Abrams Capital, LLC, which is the general partner of each of ACP I and ACP II, (ii) Riva Capital Management V, LLC, which is the general partner of Riva V, and (iii) Riva Capital Management VI, LLC, which is the general partner of Riva VI. The Reporting Person disclaims beneficial ownership of such securities except to the extent of his pecuniary interest therein, and the inclusion of such securities in this report shall not be deemed an admission of beneficial ownership for purposes of Section 16 or for any other purpose.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Raja Bobbili</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2021281" TargetMode="External"/><Relationship Id="rId14" Type="http://schemas.openxmlformats.org/officeDocument/2006/relationships/hyperlink" Target="http://www.sec.gov/cgi-bin/browse-edgar?action=getcompany&amp;CIK=0002064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2026-05-21T19:41:10Z</dcterms:created>
  <dcterms:modified xsi:type="dcterms:W3CDTF">2026-05-21T19:41:10Z</dcterms:modified>
</cp:coreProperties>
</file>