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03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036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Bobbili Raja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222 BERKELEY STREET, 21ST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ContextLogic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LOGC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160" w:space="655"/>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4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3.</w:t>
            </w:r>
          </w:p>
        </w:tc>
        <w:tc>
          <w:tcPr>
            <w:tcW w:w="600" w:type="dxa"/>
            <w:vAlign w:val="bottom"/>
          </w:tcPr>
          <w:p>
            <w:pPr>
              <w:spacing w:after="0"/>
              <w:rPr>
                <w:sz w:val="13"/>
                <w:szCs w:val="13"/>
                <w:color w:val="auto"/>
              </w:rPr>
            </w:pPr>
          </w:p>
        </w:tc>
        <w:tc>
          <w:tcPr>
            <w:tcW w:w="20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3"/>
              </w:rPr>
              <w:t>8)</w:t>
            </w: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3"/>
                <w:szCs w:val="13"/>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gridSpan w:val="2"/>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vMerge w:val="continue"/>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gridSpan w:val="2"/>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estate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20" w:type="dxa"/>
            <w:vAlign w:val="bottom"/>
            <w:gridSpan w:val="4"/>
            <w:vMerge w:val="continue"/>
          </w:tcPr>
          <w:p>
            <w:pPr>
              <w:spacing w:after="0"/>
              <w:rPr>
                <w:sz w:val="9"/>
                <w:szCs w:val="9"/>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05/26/2026</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32,421</w:t>
            </w:r>
          </w:p>
        </w:tc>
        <w:tc>
          <w:tcPr>
            <w:tcW w:w="200" w:type="dxa"/>
            <w:vAlign w:val="bottom"/>
          </w:tcPr>
          <w:p>
            <w:pPr>
              <w:spacing w:after="0"/>
              <w:rPr>
                <w:sz w:val="9"/>
                <w:szCs w:val="9"/>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vMerge w:val="restart"/>
          </w:tcPr>
          <w:p>
            <w:pPr>
              <w:spacing w:after="0" w:line="213" w:lineRule="exact"/>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8.625</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532,421</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planning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vehicle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estate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20" w:type="dxa"/>
            <w:vAlign w:val="bottom"/>
            <w:gridSpan w:val="4"/>
            <w:vMerge w:val="continue"/>
          </w:tcPr>
          <w:p>
            <w:pPr>
              <w:spacing w:after="0"/>
              <w:rPr>
                <w:sz w:val="9"/>
                <w:szCs w:val="9"/>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05/27/2026</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4,862</w:t>
            </w:r>
          </w:p>
        </w:tc>
        <w:tc>
          <w:tcPr>
            <w:tcW w:w="200" w:type="dxa"/>
            <w:vAlign w:val="bottom"/>
          </w:tcPr>
          <w:p>
            <w:pPr>
              <w:spacing w:after="0"/>
              <w:rPr>
                <w:sz w:val="9"/>
                <w:szCs w:val="9"/>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vMerge w:val="restart"/>
          </w:tcPr>
          <w:p>
            <w:pPr>
              <w:spacing w:after="0" w:line="213" w:lineRule="exact"/>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8.748</w:t>
            </w:r>
            <w:r>
              <w:rPr>
                <w:rFonts w:ascii="Times New Roman" w:cs="Times New Roman" w:eastAsia="Times New Roman" w:hAnsi="Times New Roman"/>
                <w:sz w:val="22"/>
                <w:szCs w:val="22"/>
                <w:color w:val="008000"/>
                <w:w w:val="98"/>
                <w:vertAlign w:val="superscript"/>
              </w:rPr>
              <w:t>(3)</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537,283</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planning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vehicle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estate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20" w:type="dxa"/>
            <w:vAlign w:val="bottom"/>
            <w:gridSpan w:val="4"/>
            <w:vMerge w:val="continue"/>
          </w:tcPr>
          <w:p>
            <w:pPr>
              <w:spacing w:after="0"/>
              <w:rPr>
                <w:sz w:val="9"/>
                <w:szCs w:val="9"/>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05/28/2026</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92,918</w:t>
            </w:r>
          </w:p>
        </w:tc>
        <w:tc>
          <w:tcPr>
            <w:tcW w:w="200" w:type="dxa"/>
            <w:vAlign w:val="bottom"/>
          </w:tcPr>
          <w:p>
            <w:pPr>
              <w:spacing w:after="0"/>
              <w:rPr>
                <w:sz w:val="9"/>
                <w:szCs w:val="9"/>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vMerge w:val="restart"/>
          </w:tcPr>
          <w:p>
            <w:pPr>
              <w:spacing w:after="0" w:line="213" w:lineRule="exact"/>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8.746</w:t>
            </w:r>
            <w:r>
              <w:rPr>
                <w:rFonts w:ascii="Times New Roman" w:cs="Times New Roman" w:eastAsia="Times New Roman" w:hAnsi="Times New Roman"/>
                <w:sz w:val="22"/>
                <w:szCs w:val="22"/>
                <w:color w:val="008000"/>
                <w:w w:val="98"/>
                <w:vertAlign w:val="superscript"/>
              </w:rPr>
              <w:t>(4)</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630,201</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planning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vehicle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20" w:type="dxa"/>
            <w:vAlign w:val="bottom"/>
            <w:tcBorders>
              <w:top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9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18,269,534</w:t>
            </w:r>
          </w:p>
        </w:tc>
        <w:tc>
          <w:tcPr>
            <w:tcW w:w="520" w:type="dxa"/>
            <w:vAlign w:val="bottom"/>
            <w:tcBorders>
              <w:top w:val="single" w:sz="8" w:color="2C2C2C"/>
            </w:tcBorders>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(5)(6)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vMerge w:val="continue"/>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7"/>
          </w:tcPr>
          <w:p>
            <w:pPr>
              <w:jc w:val="center"/>
              <w:ind w:left="4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00" w:type="dxa"/>
            <w:vAlign w:val="bottom"/>
            <w:gridSpan w:val="13"/>
          </w:tcPr>
          <w:p>
            <w:pPr>
              <w:jc w:val="center"/>
              <w:ind w:left="24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at prices ranging from $8.47 to $8.75, inclusive. The Reporting Person undertakes to provide to the issuer, any security holder of the issuer, or the staff of the Securities and Exchange Commission, upon request, full information regarding the number of shares bought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managing member of the estate planning vehicle. The Reporting Person disclaims beneficial ownership of such securities except to the extent of his pecuniary interest therein, and the inclusion of such securities in this report shall not be deemed an admission of beneficial ownership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at prices ranging from $8.73 to $8.75, inclusive. The Reporting Person undertakes to provide to the issuer, any security holder of the issuer, or the staff of the Securities and Exchange Commission, upon request, full information regarding the number of shares bought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at prices ranging from $8.73 to $8.75, inclusive. The Reporting Person undertakes to provide to the issuer, any security holder of the issuer, or the staff of the Securities and Exchange Commission, upon request, full information regarding the number of shares bought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reported herein as beneficially owned represent 578,862 shares held by Abrams Capital Partners I, L.P. ("ACP I"), 7,897,244 shares held by Abrams Capital Partners II, L.P. ("ACP II"), 5,262,976 shares held by Riva Capital Partners V, L.P. ("Riva V") and 4,530,452 shares held by Riva Capital Partners VI, L.P. ("Riva VI").</w:t>
      </w:r>
    </w:p>
    <w:p>
      <w:pPr>
        <w:spacing w:after="0" w:line="7"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 Abrams Capital, LLC, which is the general partner of each of ACP I and ACP II, (ii) Riva Capital Management V, LLC, which is the general partner of Riva V, and (iii) Riva Capital Management VI, LLC, which is the general partner of Riva VI. The Reporting Person disclaims beneficial ownership of such securities except to the extent of his pecuniary interest therein, and the inclusion of such securities in this report shall not be deemed an admission of beneficial ownership for purposes of Section 16 or for any other purpose.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Raja Bobbili</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2021281" TargetMode="External"/><Relationship Id="rId14" Type="http://schemas.openxmlformats.org/officeDocument/2006/relationships/hyperlink" Target="http://www.sec.gov/cgi-bin/browse-edgar?action=getcompany&amp;CIK=00020643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2026-05-28T20:09:02Z</dcterms:created>
  <dcterms:modified xsi:type="dcterms:W3CDTF">2026-05-28T20:09:02Z</dcterms:modified>
</cp:coreProperties>
</file>